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EC" w:rsidRPr="00676DFB" w:rsidRDefault="003460EC" w:rsidP="003460EC">
      <w:pPr>
        <w:spacing w:after="0" w:line="360" w:lineRule="exact"/>
        <w:jc w:val="center"/>
        <w:rPr>
          <w:rFonts w:ascii="Times New Roman" w:hAnsi="Times New Roman" w:cs="Times New Roman"/>
          <w:b/>
          <w:sz w:val="26"/>
          <w:szCs w:val="26"/>
          <w:lang w:val="vi-VN"/>
        </w:rPr>
      </w:pPr>
      <w:bookmarkStart w:id="0" w:name="_Toc420533999"/>
      <w:bookmarkStart w:id="1" w:name="_Toc420574540"/>
      <w:r w:rsidRPr="00676DFB">
        <w:rPr>
          <w:rFonts w:ascii="Times New Roman" w:hAnsi="Times New Roman" w:cs="Times New Roman"/>
          <w:b/>
          <w:sz w:val="26"/>
          <w:szCs w:val="26"/>
          <w:lang w:val="vi-VN"/>
        </w:rPr>
        <w:t>QUY ĐỊNH</w:t>
      </w:r>
      <w:bookmarkEnd w:id="0"/>
      <w:bookmarkEnd w:id="1"/>
    </w:p>
    <w:p w:rsidR="003460EC" w:rsidRPr="00B96D59" w:rsidRDefault="003460EC" w:rsidP="003460EC">
      <w:pPr>
        <w:pStyle w:val="1"/>
        <w:spacing w:before="0" w:after="0" w:line="360" w:lineRule="exact"/>
        <w:rPr>
          <w:color w:val="auto"/>
          <w:lang w:val="vi-VN"/>
        </w:rPr>
      </w:pPr>
      <w:bookmarkStart w:id="2" w:name="_Toc420534000"/>
      <w:bookmarkStart w:id="3" w:name="_Toc420574541"/>
      <w:r w:rsidRPr="00B96D59">
        <w:rPr>
          <w:color w:val="auto"/>
          <w:lang w:val="vi-VN"/>
        </w:rPr>
        <w:t>TIÊU CHUẨN CHỨC DANH CÁN BỘ QUẢN LÝ</w:t>
      </w:r>
      <w:bookmarkEnd w:id="2"/>
      <w:bookmarkEnd w:id="3"/>
    </w:p>
    <w:p w:rsidR="003460EC" w:rsidRPr="00B96D59" w:rsidRDefault="003460EC" w:rsidP="003460EC">
      <w:pPr>
        <w:pStyle w:val="1"/>
        <w:spacing w:before="0" w:after="0" w:line="360" w:lineRule="exact"/>
        <w:rPr>
          <w:color w:val="auto"/>
          <w:lang w:val="vi-VN"/>
        </w:rPr>
      </w:pPr>
      <w:bookmarkStart w:id="4" w:name="_Toc420534001"/>
      <w:bookmarkStart w:id="5" w:name="_Toc420574542"/>
      <w:r w:rsidRPr="00B96D59">
        <w:rPr>
          <w:color w:val="auto"/>
          <w:lang w:val="vi-VN"/>
        </w:rPr>
        <w:t>CÁC ĐƠN VỊ TRỰC THUỘC TRƯỜNG ĐẠI HỌC NÔNG - LÂM BẮC GIANG</w:t>
      </w:r>
      <w:bookmarkEnd w:id="4"/>
      <w:bookmarkEnd w:id="5"/>
    </w:p>
    <w:p w:rsidR="003460EC" w:rsidRPr="00B96D59" w:rsidRDefault="003460EC" w:rsidP="003460EC">
      <w:pPr>
        <w:autoSpaceDE w:val="0"/>
        <w:autoSpaceDN w:val="0"/>
        <w:adjustRightInd w:val="0"/>
        <w:spacing w:after="0" w:line="360" w:lineRule="exact"/>
        <w:ind w:firstLine="340"/>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(Ban hành kèm theo Quyết định số 314/QĐ-ĐHNLBG-T</w:t>
      </w:r>
      <w:bookmarkStart w:id="6" w:name="_GoBack"/>
      <w:bookmarkEnd w:id="6"/>
      <w:r w:rsidRPr="00B96D59">
        <w:rPr>
          <w:rFonts w:ascii="Times New Roman" w:hAnsi="Times New Roman" w:cs="Times New Roman"/>
          <w:i/>
          <w:iCs/>
          <w:sz w:val="24"/>
          <w:szCs w:val="26"/>
          <w:lang w:val="vi-VN"/>
        </w:rPr>
        <w:t>CCB ngày 25/5/2015</w:t>
      </w:r>
    </w:p>
    <w:p w:rsidR="003460EC" w:rsidRPr="00B96D59" w:rsidRDefault="003460EC" w:rsidP="003460EC">
      <w:pPr>
        <w:autoSpaceDE w:val="0"/>
        <w:autoSpaceDN w:val="0"/>
        <w:adjustRightInd w:val="0"/>
        <w:spacing w:after="0" w:line="360" w:lineRule="exact"/>
        <w:ind w:firstLine="340"/>
        <w:jc w:val="center"/>
        <w:rPr>
          <w:rFonts w:ascii="Times New Roman" w:hAnsi="Times New Roman" w:cs="Times New Roman"/>
          <w:i/>
          <w:iCs/>
          <w:sz w:val="26"/>
          <w:szCs w:val="26"/>
          <w:lang w:val="vi-VN"/>
        </w:rPr>
      </w:pPr>
      <w:r w:rsidRPr="00B96D59">
        <w:rPr>
          <w:rFonts w:ascii="Times New Roman" w:hAnsi="Times New Roman" w:cs="Times New Roman"/>
          <w:i/>
          <w:iCs/>
          <w:sz w:val="24"/>
          <w:szCs w:val="26"/>
          <w:lang w:val="vi-VN"/>
        </w:rPr>
        <w:t>của Hiệu trưởng Trường Đại học Nông - Lâm Bắc Giang)</w:t>
      </w:r>
    </w:p>
    <w:p w:rsidR="003460EC" w:rsidRPr="00844706" w:rsidRDefault="003460EC" w:rsidP="003460EC">
      <w:pPr>
        <w:tabs>
          <w:tab w:val="left" w:pos="3900"/>
        </w:tabs>
        <w:autoSpaceDE w:val="0"/>
        <w:autoSpaceDN w:val="0"/>
        <w:adjustRightInd w:val="0"/>
        <w:spacing w:after="0" w:line="360" w:lineRule="exact"/>
        <w:jc w:val="center"/>
        <w:rPr>
          <w:rFonts w:ascii="Times New Roman" w:hAnsi="Times New Roman" w:cs="Times New Roman"/>
          <w:b/>
          <w:bCs/>
          <w:sz w:val="26"/>
          <w:szCs w:val="26"/>
          <w:lang w:val="vi-VN"/>
        </w:rPr>
      </w:pPr>
    </w:p>
    <w:p w:rsidR="003460EC" w:rsidRPr="00B96D59" w:rsidRDefault="003460EC" w:rsidP="003460EC">
      <w:pPr>
        <w:tabs>
          <w:tab w:val="left" w:pos="3900"/>
        </w:tabs>
        <w:autoSpaceDE w:val="0"/>
        <w:autoSpaceDN w:val="0"/>
        <w:adjustRightInd w:val="0"/>
        <w:spacing w:before="80" w:after="80" w:line="264" w:lineRule="auto"/>
        <w:jc w:val="center"/>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Chương 1</w:t>
      </w:r>
    </w:p>
    <w:p w:rsidR="003460EC" w:rsidRPr="00844706" w:rsidRDefault="003460EC" w:rsidP="003460EC">
      <w:pPr>
        <w:tabs>
          <w:tab w:val="left" w:pos="3900"/>
        </w:tabs>
        <w:autoSpaceDE w:val="0"/>
        <w:autoSpaceDN w:val="0"/>
        <w:adjustRightInd w:val="0"/>
        <w:spacing w:before="80" w:after="80" w:line="264" w:lineRule="auto"/>
        <w:jc w:val="center"/>
        <w:rPr>
          <w:rFonts w:ascii="Times New Roman" w:hAnsi="Times New Roman" w:cs="Times New Roman"/>
          <w:b/>
          <w:bCs/>
          <w:sz w:val="26"/>
          <w:szCs w:val="26"/>
          <w:lang w:val="vi-VN"/>
        </w:rPr>
      </w:pPr>
      <w:r w:rsidRPr="00676DFB">
        <w:rPr>
          <w:rFonts w:ascii="Times New Roman" w:hAnsi="Times New Roman" w:cs="Times New Roman"/>
          <w:b/>
          <w:bCs/>
          <w:sz w:val="26"/>
          <w:szCs w:val="26"/>
          <w:lang w:val="vi-VN"/>
        </w:rPr>
        <w:t>QUY ĐỊNH CHUNG</w:t>
      </w:r>
    </w:p>
    <w:p w:rsidR="003460EC" w:rsidRPr="00844706" w:rsidRDefault="003460EC" w:rsidP="003460EC">
      <w:pPr>
        <w:tabs>
          <w:tab w:val="left" w:pos="3900"/>
        </w:tabs>
        <w:autoSpaceDE w:val="0"/>
        <w:autoSpaceDN w:val="0"/>
        <w:adjustRightInd w:val="0"/>
        <w:spacing w:before="80" w:after="80" w:line="264" w:lineRule="auto"/>
        <w:jc w:val="center"/>
        <w:rPr>
          <w:rFonts w:ascii="Times New Roman" w:hAnsi="Times New Roman" w:cs="Times New Roman"/>
          <w:bCs/>
          <w:sz w:val="26"/>
          <w:szCs w:val="26"/>
          <w:lang w:val="vi-VN"/>
        </w:rPr>
      </w:pPr>
    </w:p>
    <w:p w:rsidR="003460EC" w:rsidRPr="00B96D59" w:rsidRDefault="003460EC" w:rsidP="003460EC">
      <w:pPr>
        <w:tabs>
          <w:tab w:val="left" w:pos="3900"/>
        </w:tabs>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b/>
          <w:bCs/>
          <w:sz w:val="26"/>
          <w:szCs w:val="26"/>
          <w:lang w:val="vi-VN"/>
        </w:rPr>
        <w:t>1. Phạm vi điều chỉnh và đối tượng áp dụng</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Quy định này quy định tiêu chuẩn chung và và tiêu chuẩn cụ thể của các chức danh lãnh đạo, quản lý các đơn vị trực thuộc Trường Đại học Nông - Lâm Bắc Giang, gồm các chức danh thuộc diện Hiệu trưởng bổ nhiệm theo ủy quyền của Bộ trưởng Bộ Nông nghiệp và PTNT.</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Nguyên tắc áp dụng</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 Cán bộ khi được xem xét bổ nhiệm, bổ nhiệm lại chức vụ lãnh đạo, quản lý phải đảm bảo các tiêu chuẩn chung và tiêu chuẩn cụ thể của từng chức danh theo quy định của Đảng, nhà nước và các tiêu chuẩn của quy định này.</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b) Tiêu chuẩn nêu trong quy định này là căn cứ để Hiệu trưởng xem xét bổ nhiệm, làm cơ sở quy hoạch cán bộ và xây dựng kế hoạch đào tạo bồi dưỡng, nhằm từng bước chuẩn hóa đội ngũ cán bộ quản lý theo từng chức danh của nhà trường. </w:t>
      </w:r>
    </w:p>
    <w:p w:rsidR="003460EC" w:rsidRPr="00844706" w:rsidRDefault="003460EC" w:rsidP="003460EC">
      <w:pPr>
        <w:autoSpaceDE w:val="0"/>
        <w:autoSpaceDN w:val="0"/>
        <w:adjustRightInd w:val="0"/>
        <w:spacing w:before="80" w:after="80" w:line="264" w:lineRule="auto"/>
        <w:jc w:val="center"/>
        <w:rPr>
          <w:rFonts w:ascii="Times New Roman" w:hAnsi="Times New Roman" w:cs="Times New Roman"/>
          <w:b/>
          <w:bCs/>
          <w:sz w:val="12"/>
          <w:szCs w:val="26"/>
          <w:lang w:val="vi-VN"/>
        </w:rPr>
      </w:pPr>
    </w:p>
    <w:p w:rsidR="003460EC" w:rsidRPr="00B96D59" w:rsidRDefault="003460EC" w:rsidP="003460EC">
      <w:pPr>
        <w:autoSpaceDE w:val="0"/>
        <w:autoSpaceDN w:val="0"/>
        <w:adjustRightInd w:val="0"/>
        <w:spacing w:before="80" w:after="80" w:line="264" w:lineRule="auto"/>
        <w:jc w:val="center"/>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Chương 2</w:t>
      </w:r>
    </w:p>
    <w:p w:rsidR="003460EC" w:rsidRPr="00844706" w:rsidRDefault="003460EC" w:rsidP="003460EC">
      <w:pPr>
        <w:autoSpaceDE w:val="0"/>
        <w:autoSpaceDN w:val="0"/>
        <w:adjustRightInd w:val="0"/>
        <w:spacing w:before="80" w:after="80" w:line="264" w:lineRule="auto"/>
        <w:jc w:val="center"/>
        <w:rPr>
          <w:rFonts w:ascii="Times New Roman" w:hAnsi="Times New Roman" w:cs="Times New Roman"/>
          <w:b/>
          <w:bCs/>
          <w:sz w:val="26"/>
          <w:szCs w:val="26"/>
          <w:lang w:val="vi-VN"/>
        </w:rPr>
      </w:pPr>
      <w:r w:rsidRPr="00676DFB">
        <w:rPr>
          <w:rFonts w:ascii="Times New Roman" w:hAnsi="Times New Roman" w:cs="Times New Roman"/>
          <w:b/>
          <w:bCs/>
          <w:sz w:val="26"/>
          <w:szCs w:val="26"/>
          <w:lang w:val="vi-VN"/>
        </w:rPr>
        <w:t>TIÊU CHUẨN CHUNG</w:t>
      </w:r>
    </w:p>
    <w:p w:rsidR="003460EC" w:rsidRPr="00844706" w:rsidRDefault="003460EC" w:rsidP="003460EC">
      <w:pPr>
        <w:autoSpaceDE w:val="0"/>
        <w:autoSpaceDN w:val="0"/>
        <w:adjustRightInd w:val="0"/>
        <w:spacing w:before="80" w:after="80" w:line="264" w:lineRule="auto"/>
        <w:jc w:val="center"/>
        <w:rPr>
          <w:rFonts w:ascii="Times New Roman" w:hAnsi="Times New Roman" w:cs="Times New Roman"/>
          <w:bCs/>
          <w:sz w:val="12"/>
          <w:szCs w:val="26"/>
          <w:lang w:val="vi-VN"/>
        </w:rPr>
      </w:pP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 Tiêu chuẩn chung quy định tại Nghị quyết Hội nghị lần thứ ba Ban Chấp hành Trung ương Đảng (Khóa VIII)</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 Có tinh thần yêu nước sâu sắc, tận tụy phục vụ nhân dân, kiên định mục tiêu độc lập dân tộc và chủ nghĩa xã hội, phấn đấu thực hiện có kết quả đường lối của Đảng, chính sách pháp luật của Nhà nước.</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b) Cần kiệm liêm chính, chí công vô tư. Không tham nhũng và cương quyết đấu tranh chống tham nhũng. Có ý thức tổ chức kỷ luật, trung thực, không cơ hội, gắn bó mật thiết với nhân dân, được nhân dân tín nhiệm.</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 Có trình độ hiểu biết về lý luận chính trị, quan điểm, đường lối của Đảng, chính sách pháp luật của Nhà nước; có trình độ văn hóa, chuyên mộn, đủ năng lực và sức khỏe để làm việc có hiệu quả, đáp ứng yêu cầu nhiệm vụ được giao.</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xml:space="preserve">d) Các tiêu chuẩn này có quan hệ mật thiết với nhau. Coi trọng cả đức và tài, đức là gốc. </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Năng lực lãnh đạo và quản lý</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pacing w:val="-4"/>
          <w:sz w:val="26"/>
          <w:szCs w:val="26"/>
          <w:lang w:val="vi-VN"/>
        </w:rPr>
        <w:t>a) Am hiểu về chủ trương, đường lối của Đảng, chính sách pháp luật của Nhà nước</w:t>
      </w:r>
      <w:r w:rsidRPr="00B96D59">
        <w:rPr>
          <w:rFonts w:ascii="Times New Roman" w:hAnsi="Times New Roman" w:cs="Times New Roman"/>
          <w:sz w:val="26"/>
          <w:szCs w:val="26"/>
          <w:lang w:val="vi-VN"/>
        </w:rPr>
        <w:t>.</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lastRenderedPageBreak/>
        <w:t>b) Giữ vai trò trung tâm đoàn kết; có khả năng tập hợp, động viên tập thể và cá nhân trong đơn vị đoàn kết, xây dựng tập thể vững mạnh để hoàn thành tốt nhiệm vụ chính trị được giao; có năng lực tham gia các quyết định của tập thể và khả năng tổ chức thực hiện các quyết định đó.</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 Có kinh nghiệm công tác trong lĩnh vực hoạt động chuyên môn của đơn vị.</w:t>
      </w:r>
    </w:p>
    <w:p w:rsidR="003460EC" w:rsidRPr="00B96D59" w:rsidRDefault="003460EC" w:rsidP="003460EC">
      <w:pPr>
        <w:autoSpaceDE w:val="0"/>
        <w:autoSpaceDN w:val="0"/>
        <w:adjustRightInd w:val="0"/>
        <w:spacing w:before="80" w:after="80" w:line="264" w:lineRule="auto"/>
        <w:ind w:firstLine="397"/>
        <w:jc w:val="center"/>
        <w:rPr>
          <w:rFonts w:ascii="Times New Roman" w:hAnsi="Times New Roman" w:cs="Times New Roman"/>
          <w:sz w:val="26"/>
          <w:szCs w:val="26"/>
          <w:lang w:val="vi-VN"/>
        </w:rPr>
      </w:pPr>
    </w:p>
    <w:p w:rsidR="003460EC" w:rsidRPr="00B96D59" w:rsidRDefault="003460EC" w:rsidP="003460EC">
      <w:pPr>
        <w:autoSpaceDE w:val="0"/>
        <w:autoSpaceDN w:val="0"/>
        <w:adjustRightInd w:val="0"/>
        <w:spacing w:before="80" w:after="80" w:line="264" w:lineRule="auto"/>
        <w:ind w:firstLine="397"/>
        <w:jc w:val="center"/>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Chương 3</w:t>
      </w:r>
    </w:p>
    <w:p w:rsidR="003460EC" w:rsidRPr="00844706" w:rsidRDefault="003460EC" w:rsidP="003460EC">
      <w:pPr>
        <w:autoSpaceDE w:val="0"/>
        <w:autoSpaceDN w:val="0"/>
        <w:adjustRightInd w:val="0"/>
        <w:spacing w:before="80" w:after="80" w:line="264" w:lineRule="auto"/>
        <w:ind w:firstLine="397"/>
        <w:jc w:val="center"/>
        <w:rPr>
          <w:rFonts w:ascii="Times New Roman" w:hAnsi="Times New Roman" w:cs="Times New Roman"/>
          <w:b/>
          <w:bCs/>
          <w:sz w:val="26"/>
          <w:szCs w:val="26"/>
          <w:lang w:val="vi-VN"/>
        </w:rPr>
      </w:pPr>
      <w:r w:rsidRPr="00676DFB">
        <w:rPr>
          <w:rFonts w:ascii="Times New Roman" w:hAnsi="Times New Roman" w:cs="Times New Roman"/>
          <w:b/>
          <w:bCs/>
          <w:sz w:val="26"/>
          <w:szCs w:val="26"/>
          <w:lang w:val="vi-VN"/>
        </w:rPr>
        <w:t>TIÊU CHUẨN CHỨC DANH</w:t>
      </w:r>
    </w:p>
    <w:p w:rsidR="003460EC" w:rsidRPr="00844706" w:rsidRDefault="003460EC" w:rsidP="003460EC">
      <w:pPr>
        <w:autoSpaceDE w:val="0"/>
        <w:autoSpaceDN w:val="0"/>
        <w:adjustRightInd w:val="0"/>
        <w:spacing w:before="80" w:after="80" w:line="264" w:lineRule="auto"/>
        <w:ind w:firstLine="397"/>
        <w:jc w:val="center"/>
        <w:rPr>
          <w:rFonts w:ascii="Times New Roman" w:hAnsi="Times New Roman" w:cs="Times New Roman"/>
          <w:bCs/>
          <w:sz w:val="14"/>
          <w:szCs w:val="26"/>
          <w:lang w:val="vi-VN"/>
        </w:rPr>
      </w:pP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 Chức danh lãnh đạo, quản lý cấp phòng, trung tâm</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1.1. Trưởng phòng, giám đốc Trung tâm</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 Là chuyên viên hoặc tương đương trở lên. Trưởng Phòng Đào tạo, khoa học và công nghệ, hợp tác quốc tế và tổ chức cán bộ phải có kinh nghiệm giảng dạy đại học ít nhất 5 năm;</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b) Có bằng đại học trở lên. Đối với Giám đốc trung tâm nghiên cứu ứng dụng, chuyển giao khoa học kỹ thuật, công nghệ, môi trường yêu cầu có bằng Thạc sỹ trở lên. Riêng Trưởng phòng quản lý đào tạo, khoa học và công nghệ phải có trình độ tiến sỹ và có kinh nghiệm giảng dạy đại học ít nhất 5 năm. </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 Có chứng chỉ bồi dưỡng quản lý hành chính nhà nước ngạch chuyên viên chính. Trường hợp còn thiếu, yêu cầu trong thời hạn 01 năm sau khi bổ nhiệm phải bổ sung;</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d) Có kinh nghiệm quản lý, điều hành trong thực hiện nhiệm vụ chuyên môn của đơn vị;</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e) Trưởng phòng có nhiệm kỳ 5 năm và có thể được bổ nhiệm lại. Độ tuổi khi bổ nhiệm không quá 55 đối với nam và không quá 50 đối với nữ.</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1.2. Phó trưởng phòng, phó giám đốc trung tâm</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a) Là Chuyên viên hoặc tương đương trở lên;</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b) Có bằng đại học trở lên;</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 Có chứng chỉ bồi dưỡng quản lý hành chính nhà nước ngạch chuyên viên. Trường hợp còn thiếu, yêu cầu trong thời hạn 01 năm sau khi bổ nhiệm phải bổ sung;</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d) Có năng lực quản lý;</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d) Độ tuổi khi bổ nhiệm không quá 55 đối với nam và không quá 50 đối với nữ.</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Chức danh lãnh đạo, quản lý cấp khoa, bộ môn</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2.1. Trưởng khoa</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 Có bằng tiến sỹ phù hợp với ngành, chuyên ngành đào tạo tại khoa. Đối với khoa không đảm nhận việc đào tạo 1 ngành hoặc chuyên ngành để cấp một trong các văn bằng tốt nghiệp đại học, thạc sĩ, tiến sĩ, nếu không có tiến sĩ thì Hiệu trưởng có thể xem xét, bổ nhiệm người có trình độ thạc sĩ vào vị trí trưởng khoa.</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xml:space="preserve">b) </w:t>
      </w:r>
      <w:r w:rsidRPr="00B96D59">
        <w:rPr>
          <w:rFonts w:ascii="Times New Roman" w:hAnsi="Times New Roman" w:cs="Times New Roman"/>
          <w:sz w:val="26"/>
          <w:szCs w:val="26"/>
          <w:lang w:val="vi-VN"/>
        </w:rPr>
        <w:t>Có đủ tiêu chuẩn giảng viên giảng dạy trình độ đại học</w:t>
      </w:r>
      <w:r w:rsidRPr="00B96D59">
        <w:rPr>
          <w:rFonts w:ascii="Times New Roman" w:hAnsi="Times New Roman" w:cs="Times New Roman"/>
          <w:spacing w:val="-6"/>
          <w:sz w:val="26"/>
          <w:szCs w:val="26"/>
          <w:lang w:val="vi-VN"/>
        </w:rPr>
        <w:t>. Là giảng viên có uy tín, có kinh nghiệm trong giảng dạy, nghiên cứu khoa học.</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c) Có năng lực quản lý, điều hành thực hiện nhiệm vụ chuyên môn của đơn vị.</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d) Có chứng chỉ nghiệp vụ sư phạm giáo dục đại học.</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e) Trưởng khoa có nhiệm kỳ 5 năm và có thể được bổ nhiệm lại, nhưng không quá 2 nhiệm kỳ liên tiếp. Độ tuổi khi bổ nhiệm không quá 55 đối với nam và không quá 50 đối với nữ. Nhiệm kỳ của Trưởng khoa có thể theo nhiệm kỳ của Hiệu trưởng.</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2.2. Phó trưởng khoa</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 Có bằng thạc sỹ trở lên. Riêng phó trưởng khoa phụ trách đào tạo, hoạt động khoa học và công nghệ phải có bằng tiến sỹ. Đối với khoa không đảm nhận việc đào tạo 1 ngành hoặc chuyên ngành để cấp một trong các văn bằng tốt nghiệp đại học, thạc sĩ, tiến sĩ, nếu không có tiến sĩ thì Hiệu trưởng có thể xem xét, bổ nhiệm người có trình độ thạc sĩ vào vị trí phó trưởng khoa phụ trách hoạt động đào tạo, khoa học công nghệ.</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xml:space="preserve">b) </w:t>
      </w:r>
      <w:r w:rsidRPr="00B96D59">
        <w:rPr>
          <w:rFonts w:ascii="Times New Roman" w:hAnsi="Times New Roman" w:cs="Times New Roman"/>
          <w:sz w:val="26"/>
          <w:szCs w:val="26"/>
          <w:lang w:val="vi-VN"/>
        </w:rPr>
        <w:t>Có đủ tiêu chuẩn giảng viên giảng dạy trình độ đại học</w:t>
      </w:r>
      <w:r w:rsidRPr="00B96D59">
        <w:rPr>
          <w:rFonts w:ascii="Times New Roman" w:hAnsi="Times New Roman" w:cs="Times New Roman"/>
          <w:spacing w:val="-6"/>
          <w:sz w:val="26"/>
          <w:szCs w:val="26"/>
          <w:lang w:val="vi-VN"/>
        </w:rPr>
        <w:t>. Là giảng viên có uy tín, có kinh nghiệm trong giảng dạy, nghiên cứu khoa học.</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c) Có năng lực quản lý.</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d) Có chứng chỉ nghiệp vụ sư phạm giáo dục đại học.</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4"/>
          <w:sz w:val="26"/>
          <w:szCs w:val="26"/>
          <w:lang w:val="vi-VN"/>
        </w:rPr>
        <w:t>e) Nhiệm kỳ của phó trưởng khoa theo nhiệm kỳ của trưởng khoa và có thể được bổ nhiệm lại. Độ tuổi khi bổ nhiệm không quá 55 đối với nam và không quá 50 đối với nữ</w:t>
      </w:r>
      <w:r w:rsidRPr="00B96D59">
        <w:rPr>
          <w:rFonts w:ascii="Times New Roman" w:hAnsi="Times New Roman" w:cs="Times New Roman"/>
          <w:spacing w:val="-2"/>
          <w:sz w:val="26"/>
          <w:szCs w:val="26"/>
          <w:lang w:val="vi-VN"/>
        </w:rPr>
        <w:t>.</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2.3. Trưởng bộ môn</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a) Có bằng tiến sỹ. Trường hợp đặc biệt, đối với bộ môn chỉ giảng dạy khối kiến thức đại cương nếu không có tiến sĩ có thể bổ nhiệm người có bằng thạc sỹ làm trưởng bộ môn.</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b) Có đủ tiêu chuẩn giảng viên giảng dạy trình độ đại học. Là giảng viên có uy tín, có kinh nghiệm trong giảng dạy, nghiên cứu khoa học.</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c) Có năng lực quản lý</w:t>
      </w:r>
    </w:p>
    <w:p w:rsidR="003460EC" w:rsidRPr="00B96D59" w:rsidRDefault="003460EC" w:rsidP="003460EC">
      <w:pPr>
        <w:autoSpaceDE w:val="0"/>
        <w:autoSpaceDN w:val="0"/>
        <w:adjustRightInd w:val="0"/>
        <w:spacing w:before="80" w:after="80" w:line="264" w:lineRule="auto"/>
        <w:ind w:firstLine="397"/>
        <w:rPr>
          <w:rFonts w:ascii="Times New Roman" w:hAnsi="Times New Roman" w:cs="Times New Roman"/>
          <w:sz w:val="26"/>
          <w:szCs w:val="26"/>
          <w:lang w:val="vi-VN"/>
        </w:rPr>
      </w:pPr>
      <w:r w:rsidRPr="00B96D59">
        <w:rPr>
          <w:rFonts w:ascii="Times New Roman" w:hAnsi="Times New Roman" w:cs="Times New Roman"/>
          <w:sz w:val="26"/>
          <w:szCs w:val="26"/>
          <w:lang w:val="vi-VN"/>
        </w:rPr>
        <w:t>d) Có chứng chỉ nghiệp vụ sư phạm bậc đại học</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e) Trưởng bộ môn có nhiệm kỳ 5 năm và có thể được bổ nhiệm lại, nhiệm kỳ của Trưởng bộ môn có thể theo nhiệm kỳ của Trưởng khoa. Độ tuổi khi bổ nhiệm phải đảm bảo thực hiện nhiệm vụ được ít nhất nửa nhiệm kỳ.</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b/>
          <w:spacing w:val="-4"/>
          <w:sz w:val="26"/>
          <w:szCs w:val="26"/>
          <w:lang w:val="vi-VN"/>
        </w:rPr>
      </w:pPr>
      <w:r w:rsidRPr="00B96D59">
        <w:rPr>
          <w:rFonts w:ascii="Times New Roman" w:hAnsi="Times New Roman" w:cs="Times New Roman"/>
          <w:b/>
          <w:spacing w:val="-4"/>
          <w:sz w:val="26"/>
          <w:szCs w:val="26"/>
          <w:lang w:val="vi-VN"/>
        </w:rPr>
        <w:t>2.4. Phó trưởng bộ môn</w:t>
      </w:r>
    </w:p>
    <w:p w:rsidR="003460EC" w:rsidRPr="00B96D59" w:rsidRDefault="003460EC" w:rsidP="003460EC">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Phó trưởng bộ môn phải có trình độ thạc sĩ trở lên. Các quy định khác đối với phó trưởng bộ môn thực hiện tương tự như trưởng bộ môn./.</w:t>
      </w:r>
    </w:p>
    <w:p w:rsidR="00A846D1" w:rsidRPr="003460EC" w:rsidRDefault="00A846D1">
      <w:pPr>
        <w:rPr>
          <w:lang w:val="vi-VN"/>
        </w:rPr>
      </w:pPr>
    </w:p>
    <w:sectPr w:rsidR="00A846D1" w:rsidRPr="003460EC"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C9" w:rsidRDefault="00776EC9" w:rsidP="003460EC">
      <w:pPr>
        <w:spacing w:after="0" w:line="240" w:lineRule="auto"/>
      </w:pPr>
      <w:r>
        <w:separator/>
      </w:r>
    </w:p>
  </w:endnote>
  <w:endnote w:type="continuationSeparator" w:id="0">
    <w:p w:rsidR="00776EC9" w:rsidRDefault="00776EC9" w:rsidP="0034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2233"/>
      <w:docPartObj>
        <w:docPartGallery w:val="Page Numbers (Bottom of Page)"/>
        <w:docPartUnique/>
      </w:docPartObj>
    </w:sdtPr>
    <w:sdtEndPr>
      <w:rPr>
        <w:noProof/>
      </w:rPr>
    </w:sdtEndPr>
    <w:sdtContent>
      <w:p w:rsidR="003460EC" w:rsidRDefault="003460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60EC" w:rsidRDefault="00346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C9" w:rsidRDefault="00776EC9" w:rsidP="003460EC">
      <w:pPr>
        <w:spacing w:after="0" w:line="240" w:lineRule="auto"/>
      </w:pPr>
      <w:r>
        <w:separator/>
      </w:r>
    </w:p>
  </w:footnote>
  <w:footnote w:type="continuationSeparator" w:id="0">
    <w:p w:rsidR="00776EC9" w:rsidRDefault="00776EC9" w:rsidP="00346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EC"/>
    <w:rsid w:val="00275E79"/>
    <w:rsid w:val="003460EC"/>
    <w:rsid w:val="007722B6"/>
    <w:rsid w:val="00776EC9"/>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80881-060A-4360-AFAA-8DBEEBE8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EC"/>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460EC"/>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346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EC"/>
    <w:rPr>
      <w:rFonts w:ascii="Calibri" w:eastAsia="Times New Roman" w:hAnsi="Calibri" w:cs="Calibri"/>
      <w:sz w:val="22"/>
      <w:szCs w:val="22"/>
      <w:lang w:val="en-US"/>
    </w:rPr>
  </w:style>
  <w:style w:type="paragraph" w:styleId="Footer">
    <w:name w:val="footer"/>
    <w:basedOn w:val="Normal"/>
    <w:link w:val="FooterChar"/>
    <w:uiPriority w:val="99"/>
    <w:unhideWhenUsed/>
    <w:rsid w:val="00346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EC"/>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2015-06-03T08:02:00Z</dcterms:created>
  <dcterms:modified xsi:type="dcterms:W3CDTF">2015-06-03T08:02:00Z</dcterms:modified>
</cp:coreProperties>
</file>